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ABA54">
      <w:pPr>
        <w:overflowPunct w:val="0"/>
        <w:snapToGrid w:val="0"/>
        <w:spacing w:line="550" w:lineRule="exact"/>
        <w:jc w:val="left"/>
        <w:rPr>
          <w:rFonts w:hint="eastAsia" w:ascii="黑体" w:hAnsi="黑体" w:eastAsia="黑体"/>
          <w:color w:val="auto"/>
          <w:sz w:val="32"/>
          <w:szCs w:val="32"/>
          <w:lang w:eastAsia="zh-CN"/>
        </w:rPr>
      </w:pPr>
      <w:r>
        <w:rPr>
          <w:rFonts w:hint="eastAsia" w:ascii="黑体" w:hAnsi="黑体" w:eastAsia="黑体"/>
          <w:color w:val="auto"/>
          <w:sz w:val="32"/>
          <w:szCs w:val="32"/>
        </w:rPr>
        <w:t>附件</w:t>
      </w:r>
      <w:r>
        <w:rPr>
          <w:rFonts w:hint="eastAsia" w:ascii="黑体" w:hAnsi="黑体" w:eastAsia="黑体"/>
          <w:color w:val="auto"/>
          <w:sz w:val="32"/>
          <w:szCs w:val="32"/>
          <w:lang w:val="en-US" w:eastAsia="zh-CN"/>
        </w:rPr>
        <w:t>1</w:t>
      </w:r>
    </w:p>
    <w:p w14:paraId="1E25C969">
      <w:pPr>
        <w:overflowPunct w:val="0"/>
        <w:snapToGrid w:val="0"/>
        <w:spacing w:line="550" w:lineRule="exact"/>
        <w:jc w:val="left"/>
        <w:rPr>
          <w:rFonts w:ascii="黑体" w:hAnsi="黑体" w:eastAsia="黑体"/>
          <w:color w:val="auto"/>
          <w:sz w:val="28"/>
          <w:szCs w:val="28"/>
        </w:rPr>
      </w:pPr>
    </w:p>
    <w:p w14:paraId="63B292E2">
      <w:pPr>
        <w:overflowPunct w:val="0"/>
        <w:snapToGrid w:val="0"/>
        <w:spacing w:before="156" w:beforeLines="50" w:line="550" w:lineRule="exact"/>
        <w:ind w:left="-1" w:leftChars="-95" w:right="-92" w:rightChars="-44" w:hanging="198" w:hangingChars="45"/>
        <w:jc w:val="center"/>
        <w:rPr>
          <w:rFonts w:hint="eastAsia" w:ascii="Times New Roman" w:hAnsi="Times New Roman" w:eastAsia="Arial Unicode MS" w:cs="Arial Unicode MS"/>
          <w:color w:val="auto"/>
          <w:sz w:val="44"/>
          <w:szCs w:val="44"/>
          <w:lang w:val="en-US" w:eastAsia="zh-CN"/>
        </w:rPr>
      </w:pPr>
      <w:r>
        <w:rPr>
          <w:rFonts w:hint="eastAsia" w:ascii="Times New Roman" w:hAnsi="Times New Roman" w:eastAsia="Arial Unicode MS" w:cs="Arial Unicode MS"/>
          <w:color w:val="auto"/>
          <w:sz w:val="44"/>
          <w:szCs w:val="44"/>
        </w:rPr>
        <w:t>202</w:t>
      </w:r>
      <w:r>
        <w:rPr>
          <w:rFonts w:hint="eastAsia" w:ascii="Times New Roman" w:hAnsi="Times New Roman" w:eastAsia="Arial Unicode MS" w:cs="Arial Unicode MS"/>
          <w:color w:val="auto"/>
          <w:sz w:val="44"/>
          <w:szCs w:val="44"/>
          <w:lang w:val="en-US" w:eastAsia="zh-CN"/>
        </w:rPr>
        <w:t>6</w:t>
      </w:r>
      <w:r>
        <w:rPr>
          <w:rFonts w:hint="eastAsia" w:ascii="Times New Roman" w:hAnsi="Times New Roman" w:eastAsia="Arial Unicode MS" w:cs="Arial Unicode MS"/>
          <w:color w:val="auto"/>
          <w:sz w:val="44"/>
          <w:szCs w:val="44"/>
        </w:rPr>
        <w:t>年</w:t>
      </w:r>
      <w:r>
        <w:rPr>
          <w:rFonts w:hint="eastAsia" w:ascii="Times New Roman" w:hAnsi="Times New Roman" w:eastAsia="Arial Unicode MS" w:cs="Arial Unicode MS"/>
          <w:color w:val="auto"/>
          <w:sz w:val="44"/>
          <w:szCs w:val="44"/>
          <w:lang w:val="en-US" w:eastAsia="zh-CN"/>
        </w:rPr>
        <w:t>江苏省社会教育</w:t>
      </w:r>
      <w:r>
        <w:rPr>
          <w:rFonts w:hint="eastAsia" w:ascii="Times New Roman" w:hAnsi="Times New Roman" w:eastAsia="Arial Unicode MS" w:cs="Arial Unicode MS"/>
          <w:color w:val="auto"/>
          <w:sz w:val="44"/>
          <w:szCs w:val="44"/>
        </w:rPr>
        <w:t>教学成果</w:t>
      </w:r>
      <w:bookmarkStart w:id="0" w:name="_GoBack"/>
      <w:bookmarkEnd w:id="0"/>
      <w:r>
        <w:rPr>
          <w:rFonts w:hint="eastAsia" w:ascii="Times New Roman" w:hAnsi="Times New Roman" w:eastAsia="Arial Unicode MS" w:cs="Arial Unicode MS"/>
          <w:color w:val="auto"/>
          <w:sz w:val="44"/>
          <w:szCs w:val="44"/>
          <w:lang w:val="en-US" w:eastAsia="zh-CN"/>
        </w:rPr>
        <w:t>推介</w:t>
      </w:r>
    </w:p>
    <w:p w14:paraId="64234467">
      <w:pPr>
        <w:overflowPunct w:val="0"/>
        <w:snapToGrid w:val="0"/>
        <w:spacing w:before="156" w:beforeLines="50" w:line="550" w:lineRule="exact"/>
        <w:ind w:left="-1" w:leftChars="-95" w:right="-92" w:rightChars="-44" w:hanging="198" w:hangingChars="45"/>
        <w:jc w:val="center"/>
        <w:rPr>
          <w:rFonts w:ascii="Times New Roman" w:hAnsi="Times New Roman" w:eastAsia="Arial Unicode MS" w:cs="Arial Unicode MS"/>
          <w:color w:val="auto"/>
          <w:sz w:val="44"/>
          <w:szCs w:val="44"/>
        </w:rPr>
      </w:pPr>
      <w:r>
        <w:rPr>
          <w:rFonts w:hint="eastAsia" w:ascii="Times New Roman" w:hAnsi="Times New Roman" w:eastAsia="Arial Unicode MS" w:cs="Arial Unicode MS"/>
          <w:color w:val="auto"/>
          <w:sz w:val="44"/>
          <w:szCs w:val="44"/>
        </w:rPr>
        <w:t>工作安排</w:t>
      </w:r>
    </w:p>
    <w:p w14:paraId="2824A98B">
      <w:pPr>
        <w:overflowPunct w:val="0"/>
        <w:snapToGrid w:val="0"/>
        <w:spacing w:line="550" w:lineRule="exact"/>
        <w:ind w:firstLine="640" w:firstLineChars="200"/>
        <w:jc w:val="left"/>
        <w:rPr>
          <w:rFonts w:ascii="Times New Roman" w:hAnsi="Times New Roman" w:eastAsia="楷体" w:cs="Times New Roman"/>
          <w:color w:val="auto"/>
          <w:sz w:val="32"/>
          <w:szCs w:val="32"/>
        </w:rPr>
      </w:pPr>
    </w:p>
    <w:p w14:paraId="2F82DE89">
      <w:pPr>
        <w:overflowPunct w:val="0"/>
        <w:snapToGrid w:val="0"/>
        <w:spacing w:line="550" w:lineRule="exact"/>
        <w:ind w:firstLine="640" w:firstLineChars="200"/>
        <w:rPr>
          <w:rFonts w:ascii="Times New Roman" w:hAnsi="Times New Roman" w:eastAsia="黑体"/>
          <w:color w:val="auto"/>
          <w:sz w:val="32"/>
          <w:szCs w:val="32"/>
        </w:rPr>
      </w:pPr>
      <w:r>
        <w:rPr>
          <w:rFonts w:hint="eastAsia" w:ascii="Times New Roman" w:hAnsi="Times New Roman" w:eastAsia="黑体"/>
          <w:color w:val="auto"/>
          <w:sz w:val="32"/>
          <w:szCs w:val="32"/>
        </w:rPr>
        <w:t>一、</w:t>
      </w:r>
      <w:r>
        <w:rPr>
          <w:rFonts w:hint="eastAsia" w:ascii="Times New Roman" w:hAnsi="Times New Roman" w:eastAsia="黑体"/>
          <w:color w:val="auto"/>
          <w:sz w:val="32"/>
          <w:szCs w:val="32"/>
          <w:lang w:val="en-US" w:eastAsia="zh-CN"/>
        </w:rPr>
        <w:t>推介</w:t>
      </w:r>
      <w:r>
        <w:rPr>
          <w:rFonts w:hint="eastAsia" w:ascii="Times New Roman" w:hAnsi="Times New Roman" w:eastAsia="黑体"/>
          <w:color w:val="auto"/>
          <w:sz w:val="32"/>
          <w:szCs w:val="32"/>
        </w:rPr>
        <w:t>范围</w:t>
      </w:r>
    </w:p>
    <w:p w14:paraId="576C5C69">
      <w:pPr>
        <w:overflowPunct w:val="0"/>
        <w:snapToGrid w:val="0"/>
        <w:spacing w:line="550" w:lineRule="exact"/>
        <w:ind w:firstLine="640" w:firstLineChars="200"/>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（一）“江苏省社会教育教学成果</w:t>
      </w:r>
      <w:r>
        <w:rPr>
          <w:rFonts w:hint="eastAsia" w:ascii="Times New Roman" w:hAnsi="Times New Roman" w:eastAsia="仿宋_GB2312" w:cs="仿宋_GB2312"/>
          <w:color w:val="auto"/>
          <w:sz w:val="32"/>
          <w:szCs w:val="32"/>
          <w:lang w:val="en-US" w:eastAsia="zh-CN"/>
        </w:rPr>
        <w:t>推介</w:t>
      </w:r>
      <w:r>
        <w:rPr>
          <w:rFonts w:hint="eastAsia" w:ascii="Times New Roman" w:hAnsi="Times New Roman" w:eastAsia="仿宋_GB2312" w:cs="仿宋_GB2312"/>
          <w:color w:val="auto"/>
          <w:sz w:val="32"/>
          <w:szCs w:val="32"/>
        </w:rPr>
        <w:t>”的范围为江苏省内各级各类社会教育（包括青少年校外教育、在职人员岗位继续教育、社区教育、老年教育）机构及教学、管理、科研人员在社会教育教学工作中作出突出贡献，有效提高教学水平和教育质量，取得显著成果的集体和个人。</w:t>
      </w:r>
    </w:p>
    <w:p w14:paraId="3E3BF41F">
      <w:pPr>
        <w:overflowPunct w:val="0"/>
        <w:snapToGrid w:val="0"/>
        <w:spacing w:line="550" w:lineRule="exact"/>
        <w:ind w:firstLine="640" w:firstLineChars="200"/>
        <w:rPr>
          <w:rFonts w:hint="eastAsia" w:ascii="Times New Roman" w:hAnsi="Times New Roman" w:eastAsia="仿宋_GB2312" w:cs="仿宋_GB2312"/>
          <w:color w:val="auto"/>
          <w:sz w:val="32"/>
          <w:szCs w:val="32"/>
          <w:lang w:val="zh-TW" w:eastAsia="zh-CN"/>
        </w:rPr>
      </w:pPr>
      <w:r>
        <w:rPr>
          <w:rFonts w:hint="eastAsia" w:ascii="Times New Roman" w:hAnsi="Times New Roman" w:eastAsia="仿宋_GB2312" w:cs="仿宋_GB2312"/>
          <w:color w:val="auto"/>
          <w:sz w:val="32"/>
          <w:szCs w:val="32"/>
          <w:lang w:val="en-US" w:eastAsia="zh-CN"/>
        </w:rPr>
        <w:t>（二）申报教学成果推介的个人应为江苏省域范围内相关社会教育机构在职或兼职人员，且从事社会教育工作不少于三年；应直接参与成果的方案设计、论证、研究和实施全过程，并做出主要贡献。</w:t>
      </w:r>
      <w:r>
        <w:rPr>
          <w:rFonts w:hint="eastAsia" w:ascii="Times New Roman" w:hAnsi="Times New Roman" w:eastAsia="仿宋_GB2312" w:cs="仿宋_GB2312"/>
          <w:color w:val="auto"/>
          <w:sz w:val="32"/>
          <w:szCs w:val="32"/>
          <w:lang w:val="zh-TW" w:eastAsia="zh-CN"/>
        </w:rPr>
        <w:t>成果的主要完成单位应为成果主要完成人所在的单位，并在成果的方案设计、论证、研究和实践的全过程中做出主要贡献，并以单位为主提供物质技术条件保障。</w:t>
      </w:r>
    </w:p>
    <w:p w14:paraId="185DA779">
      <w:pPr>
        <w:overflowPunct w:val="0"/>
        <w:snapToGrid w:val="0"/>
        <w:spacing w:line="550" w:lineRule="exact"/>
        <w:ind w:firstLine="640" w:firstLineChars="200"/>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（三）</w:t>
      </w:r>
      <w:r>
        <w:rPr>
          <w:rFonts w:hint="eastAsia" w:ascii="Times New Roman" w:hAnsi="Times New Roman" w:eastAsia="仿宋_GB2312" w:cs="仿宋_GB2312"/>
          <w:color w:val="auto"/>
          <w:sz w:val="32"/>
          <w:szCs w:val="32"/>
          <w:lang w:val="zh-TW" w:eastAsia="zh-CN"/>
        </w:rPr>
        <w:t>申报的成果应当符合党和国家的教育方针、政策，</w:t>
      </w:r>
      <w:r>
        <w:rPr>
          <w:rFonts w:hint="eastAsia" w:ascii="Times New Roman" w:hAnsi="Times New Roman" w:eastAsia="仿宋_GB2312" w:cs="仿宋_GB2312"/>
          <w:color w:val="auto"/>
          <w:sz w:val="32"/>
          <w:szCs w:val="32"/>
          <w:lang w:val="en-US" w:eastAsia="zh-CN"/>
        </w:rPr>
        <w:t>坚持素质教育方向，反映基础教育教学规律，</w:t>
      </w:r>
      <w:r>
        <w:rPr>
          <w:rFonts w:hint="eastAsia" w:ascii="Times New Roman" w:hAnsi="Times New Roman" w:eastAsia="仿宋_GB2312" w:cs="仿宋_GB2312"/>
          <w:color w:val="auto"/>
          <w:sz w:val="32"/>
          <w:szCs w:val="32"/>
          <w:lang w:val="zh-TW" w:eastAsia="zh-CN"/>
        </w:rPr>
        <w:t>既具有</w:t>
      </w:r>
      <w:r>
        <w:rPr>
          <w:rFonts w:hint="eastAsia" w:ascii="Times New Roman" w:hAnsi="Times New Roman" w:eastAsia="仿宋_GB2312" w:cs="仿宋_GB2312"/>
          <w:color w:val="auto"/>
          <w:sz w:val="32"/>
          <w:szCs w:val="32"/>
          <w:lang w:val="en-US" w:eastAsia="zh-CN"/>
        </w:rPr>
        <w:t>系统的</w:t>
      </w:r>
      <w:r>
        <w:rPr>
          <w:rFonts w:hint="eastAsia" w:ascii="Times New Roman" w:hAnsi="Times New Roman" w:eastAsia="仿宋_GB2312" w:cs="仿宋_GB2312"/>
          <w:color w:val="auto"/>
          <w:sz w:val="32"/>
          <w:szCs w:val="32"/>
          <w:lang w:val="zh-TW" w:eastAsia="zh-CN"/>
        </w:rPr>
        <w:t>理论</w:t>
      </w:r>
      <w:r>
        <w:rPr>
          <w:rFonts w:hint="eastAsia" w:ascii="Times New Roman" w:hAnsi="Times New Roman" w:eastAsia="仿宋_GB2312" w:cs="仿宋_GB2312"/>
          <w:color w:val="auto"/>
          <w:sz w:val="32"/>
          <w:szCs w:val="32"/>
          <w:lang w:val="en-US" w:eastAsia="zh-CN"/>
        </w:rPr>
        <w:t>研究</w:t>
      </w:r>
      <w:r>
        <w:rPr>
          <w:rFonts w:hint="eastAsia" w:ascii="Times New Roman" w:hAnsi="Times New Roman" w:eastAsia="仿宋_GB2312" w:cs="仿宋_GB2312"/>
          <w:color w:val="auto"/>
          <w:sz w:val="32"/>
          <w:szCs w:val="32"/>
          <w:lang w:val="zh-TW" w:eastAsia="zh-CN"/>
        </w:rPr>
        <w:t>，又在教学实践中获得明显效果。</w:t>
      </w:r>
    </w:p>
    <w:p w14:paraId="5A2C4C92">
      <w:pPr>
        <w:overflowPunct w:val="0"/>
        <w:snapToGrid w:val="0"/>
        <w:spacing w:line="550" w:lineRule="exact"/>
        <w:ind w:firstLine="640" w:firstLineChars="200"/>
        <w:jc w:val="left"/>
        <w:rPr>
          <w:rFonts w:ascii="Times New Roman" w:hAnsi="Times New Roman" w:eastAsia="黑体"/>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四</w:t>
      </w:r>
      <w:r>
        <w:rPr>
          <w:rFonts w:hint="eastAsia" w:ascii="Times New Roman" w:hAnsi="Times New Roman" w:eastAsia="仿宋_GB2312" w:cs="仿宋_GB2312"/>
          <w:color w:val="auto"/>
          <w:sz w:val="32"/>
          <w:szCs w:val="32"/>
        </w:rPr>
        <w:t>）成果形式主要包括研究报告、实施方案、著作、论文、课程资源等。成果中可包括教材（含数字教材），但不能以教材为主要成果进行申报。</w:t>
      </w:r>
    </w:p>
    <w:p w14:paraId="307DB0A1">
      <w:pPr>
        <w:overflowPunct w:val="0"/>
        <w:snapToGrid w:val="0"/>
        <w:spacing w:line="550" w:lineRule="exact"/>
        <w:ind w:firstLine="640" w:firstLineChars="200"/>
        <w:jc w:val="left"/>
        <w:rPr>
          <w:rFonts w:ascii="Times New Roman" w:hAnsi="Times New Roman" w:eastAsia="黑体"/>
          <w:color w:val="auto"/>
          <w:sz w:val="32"/>
          <w:szCs w:val="32"/>
        </w:rPr>
      </w:pPr>
      <w:r>
        <w:rPr>
          <w:rFonts w:hint="eastAsia" w:ascii="Times New Roman" w:hAnsi="Times New Roman" w:eastAsia="黑体"/>
          <w:color w:val="auto"/>
          <w:sz w:val="32"/>
          <w:szCs w:val="32"/>
        </w:rPr>
        <w:t>二、成果要求</w:t>
      </w:r>
    </w:p>
    <w:p w14:paraId="0C409950">
      <w:pPr>
        <w:overflowPunct w:val="0"/>
        <w:snapToGrid w:val="0"/>
        <w:spacing w:line="550" w:lineRule="exact"/>
        <w:ind w:firstLine="640" w:firstLineChars="200"/>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（一）成果应坚持正确政治方向，落实立德树人、德技并修，深化产教融合、校企合作、工学结合、知行合一，聚焦</w:t>
      </w:r>
      <w:r>
        <w:rPr>
          <w:rFonts w:hint="eastAsia" w:ascii="Times New Roman" w:hAnsi="Times New Roman" w:eastAsia="仿宋_GB2312" w:cs="仿宋_GB2312"/>
          <w:color w:val="auto"/>
          <w:sz w:val="32"/>
          <w:szCs w:val="32"/>
          <w:lang w:val="en-US" w:eastAsia="zh-CN"/>
        </w:rPr>
        <w:t>乡村振兴</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老年教育</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数智经济</w:t>
      </w:r>
      <w:r>
        <w:rPr>
          <w:rFonts w:hint="eastAsia" w:ascii="Times New Roman" w:hAnsi="Times New Roman" w:eastAsia="仿宋_GB2312" w:cs="仿宋_GB2312"/>
          <w:color w:val="auto"/>
          <w:sz w:val="32"/>
          <w:szCs w:val="32"/>
        </w:rPr>
        <w:t>等重点领域，推动专业升级和</w:t>
      </w:r>
      <w:r>
        <w:rPr>
          <w:rFonts w:hint="eastAsia" w:ascii="Times New Roman" w:hAnsi="Times New Roman" w:eastAsia="仿宋_GB2312" w:cs="仿宋_GB2312"/>
          <w:color w:val="auto"/>
          <w:sz w:val="32"/>
          <w:szCs w:val="32"/>
          <w:lang w:val="en-US" w:eastAsia="zh-CN"/>
        </w:rPr>
        <w:t>教学改革</w:t>
      </w:r>
      <w:r>
        <w:rPr>
          <w:rFonts w:hint="eastAsia" w:ascii="Times New Roman" w:hAnsi="Times New Roman" w:eastAsia="仿宋_GB2312" w:cs="仿宋_GB2312"/>
          <w:color w:val="auto"/>
          <w:sz w:val="32"/>
          <w:szCs w:val="32"/>
        </w:rPr>
        <w:t>，创新人才培养模式，加强教师培养培训，强化实践教学，实行育训并举，深化教育评价改革，促进信息技术与教育教学深度融合，有效破解教学中的难点问题，实施效果显著，具有较高推广价值。</w:t>
      </w:r>
    </w:p>
    <w:p w14:paraId="4EBA7EEE">
      <w:pPr>
        <w:overflowPunct w:val="0"/>
        <w:snapToGrid w:val="0"/>
        <w:spacing w:line="550" w:lineRule="exact"/>
        <w:ind w:firstLine="640" w:firstLineChars="200"/>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二</w:t>
      </w:r>
      <w:r>
        <w:rPr>
          <w:rFonts w:hint="eastAsia" w:ascii="Times New Roman" w:hAnsi="Times New Roman" w:eastAsia="仿宋_GB2312" w:cs="仿宋_GB2312"/>
          <w:color w:val="auto"/>
          <w:sz w:val="32"/>
          <w:szCs w:val="32"/>
        </w:rPr>
        <w:t>）实践检验的起始时间，应从正式实施（包括正式试行）教育教学方案的时间开始计算（不含研讨、论证及制定方案的时间）。成果为出版物的，从正式出版的时间开始计算。</w:t>
      </w:r>
    </w:p>
    <w:p w14:paraId="63FE0202">
      <w:pPr>
        <w:overflowPunct w:val="0"/>
        <w:snapToGrid w:val="0"/>
        <w:spacing w:line="550" w:lineRule="exact"/>
        <w:ind w:firstLine="640" w:firstLineChars="200"/>
        <w:rPr>
          <w:rFonts w:ascii="Times New Roman" w:hAnsi="Times New Roman" w:eastAsia="黑体"/>
          <w:color w:val="auto"/>
          <w:sz w:val="32"/>
          <w:szCs w:val="32"/>
        </w:rPr>
      </w:pPr>
      <w:r>
        <w:rPr>
          <w:rFonts w:hint="eastAsia" w:ascii="Times New Roman" w:hAnsi="Times New Roman" w:eastAsia="黑体"/>
          <w:color w:val="auto"/>
          <w:sz w:val="32"/>
          <w:szCs w:val="32"/>
        </w:rPr>
        <w:t>三、</w:t>
      </w:r>
      <w:r>
        <w:rPr>
          <w:rFonts w:hint="eastAsia" w:ascii="Times New Roman" w:hAnsi="Times New Roman" w:eastAsia="黑体"/>
          <w:color w:val="auto"/>
          <w:sz w:val="32"/>
          <w:szCs w:val="32"/>
          <w:lang w:val="en-US" w:eastAsia="zh-CN"/>
        </w:rPr>
        <w:t>成果</w:t>
      </w:r>
      <w:r>
        <w:rPr>
          <w:rFonts w:hint="eastAsia" w:ascii="Times New Roman" w:hAnsi="Times New Roman" w:eastAsia="黑体"/>
          <w:color w:val="auto"/>
          <w:sz w:val="32"/>
          <w:szCs w:val="32"/>
        </w:rPr>
        <w:t>申报</w:t>
      </w:r>
    </w:p>
    <w:p w14:paraId="709F95DA">
      <w:pPr>
        <w:overflowPunct w:val="0"/>
        <w:snapToGrid w:val="0"/>
        <w:spacing w:line="550" w:lineRule="exact"/>
        <w:ind w:firstLine="640" w:firstLineChars="200"/>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（一）以属地管理原则</w:t>
      </w:r>
      <w:r>
        <w:rPr>
          <w:rFonts w:hint="eastAsia" w:ascii="Times New Roman" w:hAnsi="Times New Roman" w:eastAsia="仿宋_GB2312" w:cs="仿宋_GB2312"/>
          <w:color w:val="auto"/>
          <w:sz w:val="32"/>
          <w:szCs w:val="32"/>
          <w:lang w:eastAsia="zh-CN"/>
        </w:rPr>
        <w:t>推介</w:t>
      </w:r>
      <w:r>
        <w:rPr>
          <w:rFonts w:hint="eastAsia" w:ascii="Times New Roman" w:hAnsi="Times New Roman" w:eastAsia="仿宋_GB2312" w:cs="仿宋_GB2312"/>
          <w:color w:val="auto"/>
          <w:sz w:val="32"/>
          <w:szCs w:val="32"/>
        </w:rPr>
        <w:t>为主，由成果第一完成人或完成单位</w:t>
      </w:r>
      <w:r>
        <w:rPr>
          <w:rFonts w:hint="eastAsia" w:ascii="Times New Roman" w:hAnsi="Times New Roman" w:eastAsia="仿宋_GB2312" w:cs="仿宋_GB2312"/>
          <w:color w:val="auto"/>
          <w:sz w:val="32"/>
          <w:szCs w:val="32"/>
          <w:lang w:val="en-US" w:eastAsia="zh-CN"/>
        </w:rPr>
        <w:t>在“江苏学习在线”平台申请，</w:t>
      </w:r>
      <w:r>
        <w:rPr>
          <w:rFonts w:hint="eastAsia" w:ascii="Times New Roman" w:hAnsi="Times New Roman" w:eastAsia="仿宋_GB2312" w:cs="仿宋_GB2312"/>
          <w:color w:val="auto"/>
          <w:sz w:val="32"/>
          <w:szCs w:val="32"/>
        </w:rPr>
        <w:t>所在地</w:t>
      </w:r>
      <w:r>
        <w:rPr>
          <w:rFonts w:hint="eastAsia" w:ascii="Times New Roman" w:hAnsi="Times New Roman" w:eastAsia="仿宋_GB2312" w:cs="仿宋_GB2312"/>
          <w:color w:val="auto"/>
          <w:sz w:val="32"/>
          <w:szCs w:val="32"/>
          <w:lang w:val="en-US" w:eastAsia="zh-CN"/>
        </w:rPr>
        <w:t>市社会教育服务指导中心</w:t>
      </w:r>
      <w:r>
        <w:rPr>
          <w:rFonts w:hint="eastAsia" w:ascii="Times New Roman" w:hAnsi="Times New Roman" w:eastAsia="仿宋_GB2312" w:cs="仿宋_GB2312"/>
          <w:color w:val="auto"/>
          <w:sz w:val="32"/>
          <w:szCs w:val="32"/>
        </w:rPr>
        <w:t>根据申报限额</w:t>
      </w:r>
      <w:r>
        <w:rPr>
          <w:rFonts w:hint="eastAsia" w:ascii="Times New Roman" w:hAnsi="Times New Roman" w:eastAsia="仿宋_GB2312" w:cs="仿宋_GB2312"/>
          <w:color w:val="auto"/>
          <w:sz w:val="32"/>
          <w:szCs w:val="32"/>
          <w:lang w:val="en-US" w:eastAsia="zh-CN"/>
        </w:rPr>
        <w:t>会同行政主管部门</w:t>
      </w:r>
      <w:r>
        <w:rPr>
          <w:rFonts w:hint="eastAsia" w:ascii="Times New Roman" w:hAnsi="Times New Roman" w:eastAsia="仿宋_GB2312" w:cs="仿宋_GB2312"/>
          <w:color w:val="auto"/>
          <w:sz w:val="32"/>
          <w:szCs w:val="32"/>
        </w:rPr>
        <w:t>遴选向</w:t>
      </w:r>
      <w:r>
        <w:rPr>
          <w:rFonts w:hint="eastAsia" w:ascii="Times New Roman" w:hAnsi="Times New Roman" w:eastAsia="仿宋_GB2312" w:cs="仿宋_GB2312"/>
          <w:color w:val="auto"/>
          <w:sz w:val="32"/>
          <w:szCs w:val="32"/>
          <w:lang w:val="en-US" w:eastAsia="zh-CN"/>
        </w:rPr>
        <w:t>省社指中心</w:t>
      </w:r>
      <w:r>
        <w:rPr>
          <w:rFonts w:hint="eastAsia" w:ascii="Times New Roman" w:hAnsi="Times New Roman" w:eastAsia="仿宋_GB2312" w:cs="仿宋_GB2312"/>
          <w:color w:val="auto"/>
          <w:sz w:val="32"/>
          <w:szCs w:val="32"/>
          <w:lang w:eastAsia="zh-CN"/>
        </w:rPr>
        <w:t>推介</w:t>
      </w:r>
      <w:r>
        <w:rPr>
          <w:rFonts w:hint="eastAsia" w:ascii="Times New Roman" w:hAnsi="Times New Roman" w:eastAsia="仿宋_GB2312" w:cs="仿宋_GB2312"/>
          <w:color w:val="auto"/>
          <w:sz w:val="32"/>
          <w:szCs w:val="32"/>
        </w:rPr>
        <w:t>。</w:t>
      </w:r>
    </w:p>
    <w:p w14:paraId="38EA56F0">
      <w:pPr>
        <w:overflowPunct w:val="0"/>
        <w:snapToGrid w:val="0"/>
        <w:spacing w:line="550" w:lineRule="exact"/>
        <w:ind w:firstLine="640" w:firstLineChars="200"/>
        <w:rPr>
          <w:rFonts w:hint="eastAsia" w:ascii="Times New Roman" w:hAnsi="Times New Roman" w:eastAsia="仿宋_GB2312" w:cs="仿宋_GB2312"/>
          <w:color w:val="auto"/>
          <w:sz w:val="32"/>
          <w:szCs w:val="32"/>
          <w:lang w:val="zh-TW" w:eastAsia="zh-CN"/>
        </w:rPr>
      </w:pPr>
      <w:r>
        <w:rPr>
          <w:rFonts w:hint="eastAsia" w:ascii="Times New Roman" w:hAnsi="Times New Roman" w:eastAsia="仿宋_GB2312" w:cs="仿宋_GB2312"/>
          <w:color w:val="auto"/>
          <w:sz w:val="32"/>
          <w:szCs w:val="32"/>
          <w:lang w:val="en-US" w:eastAsia="zh-CN"/>
        </w:rPr>
        <w:t>（二）申请</w:t>
      </w:r>
      <w:r>
        <w:rPr>
          <w:rFonts w:hint="eastAsia" w:ascii="Times New Roman" w:hAnsi="Times New Roman" w:eastAsia="仿宋_GB2312" w:cs="仿宋_GB2312"/>
          <w:color w:val="auto"/>
          <w:sz w:val="32"/>
          <w:szCs w:val="32"/>
          <w:lang w:val="zh-TW" w:eastAsia="zh-CN"/>
        </w:rPr>
        <w:t>个人或集体属于省属单位的，</w:t>
      </w:r>
      <w:r>
        <w:rPr>
          <w:rFonts w:hint="eastAsia" w:ascii="Times New Roman" w:hAnsi="Times New Roman" w:eastAsia="仿宋_GB2312" w:cs="仿宋_GB2312"/>
          <w:color w:val="auto"/>
          <w:sz w:val="32"/>
          <w:szCs w:val="32"/>
          <w:lang w:val="en-US" w:eastAsia="zh-CN"/>
        </w:rPr>
        <w:t>向</w:t>
      </w:r>
      <w:r>
        <w:rPr>
          <w:rFonts w:hint="eastAsia" w:ascii="Times New Roman" w:hAnsi="Times New Roman" w:eastAsia="仿宋_GB2312" w:cs="仿宋_GB2312"/>
          <w:color w:val="auto"/>
          <w:sz w:val="32"/>
          <w:szCs w:val="32"/>
          <w:lang w:val="zh-TW" w:eastAsia="zh-CN"/>
        </w:rPr>
        <w:t>江苏省社会教育服务指导中心</w:t>
      </w:r>
      <w:r>
        <w:rPr>
          <w:rFonts w:hint="eastAsia" w:ascii="Times New Roman" w:hAnsi="Times New Roman" w:eastAsia="仿宋_GB2312" w:cs="仿宋_GB2312"/>
          <w:color w:val="auto"/>
          <w:sz w:val="32"/>
          <w:szCs w:val="32"/>
          <w:lang w:val="en-US" w:eastAsia="zh-CN"/>
        </w:rPr>
        <w:t>提出申请</w:t>
      </w:r>
      <w:r>
        <w:rPr>
          <w:rFonts w:hint="eastAsia" w:ascii="Times New Roman" w:hAnsi="Times New Roman" w:eastAsia="仿宋_GB2312" w:cs="仿宋_GB2312"/>
          <w:color w:val="auto"/>
          <w:sz w:val="32"/>
          <w:szCs w:val="32"/>
          <w:lang w:val="zh-TW" w:eastAsia="zh-CN"/>
        </w:rPr>
        <w:t>。</w:t>
      </w:r>
    </w:p>
    <w:p w14:paraId="58E1BBAA">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（三）申请教学成果推介的个人应为江苏省域范围内相关社会教育机构在职或兼职人员，且从事社会教育工作不少于三年；应直接参与成果的方案设计、论证、研究和实施全过程，并做出主要贡献。</w:t>
      </w:r>
    </w:p>
    <w:p w14:paraId="7F75F99E">
      <w:pPr>
        <w:overflowPunct w:val="0"/>
        <w:snapToGrid w:val="0"/>
        <w:spacing w:line="550" w:lineRule="exact"/>
        <w:ind w:firstLine="640" w:firstLineChars="200"/>
        <w:rPr>
          <w:rFonts w:hint="eastAsia" w:ascii="Times New Roman" w:hAnsi="Times New Roman" w:eastAsia="仿宋_GB2312" w:cs="仿宋_GB2312"/>
          <w:color w:val="auto"/>
          <w:sz w:val="32"/>
          <w:szCs w:val="32"/>
          <w:lang w:val="zh-TW" w:eastAsia="zh-CN"/>
        </w:rPr>
      </w:pPr>
      <w:r>
        <w:rPr>
          <w:rFonts w:hint="eastAsia" w:ascii="Times New Roman" w:hAnsi="Times New Roman" w:eastAsia="仿宋_GB2312" w:cs="仿宋_GB2312"/>
          <w:color w:val="auto"/>
          <w:sz w:val="32"/>
          <w:szCs w:val="32"/>
          <w:lang w:val="en-US" w:eastAsia="zh-CN"/>
        </w:rPr>
        <w:t>（四）成果的主要完成单位应为成果主要完成人所在的单位，并在成果的方案设计、论证、研究和实践的全过程中做出主要贡献，并以单位为主提供物质技术条件保障。</w:t>
      </w:r>
    </w:p>
    <w:p w14:paraId="66CAA6DF">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（六）</w:t>
      </w:r>
      <w:r>
        <w:rPr>
          <w:rFonts w:hint="eastAsia" w:ascii="Times New Roman" w:hAnsi="Times New Roman" w:eastAsia="仿宋_GB2312" w:cs="仿宋_GB2312"/>
          <w:color w:val="auto"/>
          <w:sz w:val="32"/>
          <w:szCs w:val="32"/>
          <w:lang w:val="zh-TW" w:eastAsia="zh-CN"/>
        </w:rPr>
        <w:t>申报成果每项的主要完成人（包括第一完成人）不得超过</w:t>
      </w:r>
      <w:r>
        <w:rPr>
          <w:rFonts w:hint="eastAsia" w:ascii="Times New Roman" w:hAnsi="Times New Roman" w:eastAsia="仿宋_GB2312" w:cs="仿宋_GB2312"/>
          <w:color w:val="auto"/>
          <w:sz w:val="32"/>
          <w:szCs w:val="32"/>
          <w:lang w:val="en-US" w:eastAsia="zh-CN"/>
        </w:rPr>
        <w:t>5</w:t>
      </w:r>
      <w:r>
        <w:rPr>
          <w:rFonts w:hint="eastAsia" w:ascii="Times New Roman" w:hAnsi="Times New Roman" w:eastAsia="仿宋_GB2312" w:cs="仿宋_GB2312"/>
          <w:color w:val="auto"/>
          <w:sz w:val="32"/>
          <w:szCs w:val="32"/>
          <w:lang w:val="zh-TW" w:eastAsia="zh-CN"/>
        </w:rPr>
        <w:t>人。每项成果的主要完成单位（包括第一完成单位）不得超过3个，超过数量则不予受理。</w:t>
      </w:r>
    </w:p>
    <w:p w14:paraId="6DC24455">
      <w:pPr>
        <w:overflowPunct w:val="0"/>
        <w:snapToGrid w:val="0"/>
        <w:spacing w:line="550" w:lineRule="exact"/>
        <w:ind w:firstLine="640" w:firstLineChars="200"/>
        <w:jc w:val="left"/>
        <w:rPr>
          <w:rFonts w:hint="eastAsia" w:ascii="Times New Roman" w:hAnsi="Times New Roman" w:eastAsia="黑体" w:cs="仿宋_GB2312"/>
          <w:color w:val="auto"/>
          <w:sz w:val="32"/>
          <w:szCs w:val="32"/>
          <w:lang w:val="en-US" w:eastAsia="zh-CN"/>
        </w:rPr>
      </w:pPr>
      <w:r>
        <w:rPr>
          <w:rFonts w:hint="eastAsia" w:ascii="Times New Roman" w:hAnsi="Times New Roman" w:eastAsia="黑体"/>
          <w:color w:val="auto"/>
          <w:sz w:val="32"/>
          <w:szCs w:val="32"/>
          <w:lang w:val="en-US" w:eastAsia="zh-CN"/>
        </w:rPr>
        <w:t>四</w:t>
      </w:r>
      <w:r>
        <w:rPr>
          <w:rFonts w:hint="eastAsia" w:ascii="Times New Roman" w:hAnsi="Times New Roman" w:eastAsia="黑体"/>
          <w:color w:val="auto"/>
          <w:sz w:val="32"/>
          <w:szCs w:val="32"/>
        </w:rPr>
        <w:t>、</w:t>
      </w:r>
      <w:r>
        <w:rPr>
          <w:rFonts w:ascii="Times New Roman" w:hAnsi="Times New Roman" w:eastAsia="黑体"/>
          <w:color w:val="auto"/>
          <w:sz w:val="32"/>
          <w:szCs w:val="32"/>
        </w:rPr>
        <w:t>成果</w:t>
      </w:r>
      <w:r>
        <w:rPr>
          <w:rFonts w:hint="eastAsia" w:ascii="Times New Roman" w:hAnsi="Times New Roman" w:eastAsia="黑体"/>
          <w:color w:val="auto"/>
          <w:sz w:val="32"/>
          <w:szCs w:val="32"/>
          <w:lang w:val="en-US" w:eastAsia="zh-CN"/>
        </w:rPr>
        <w:t>推介</w:t>
      </w:r>
    </w:p>
    <w:p w14:paraId="48D4D1F0">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 xml:space="preserve"> 江苏省社会教育教学成果推介工作，由江苏省社会教育服务指导中心负责，成立江苏省社会教育教学成果推介工作组。</w:t>
      </w:r>
    </w:p>
    <w:p w14:paraId="0AA8E33C">
      <w:pPr>
        <w:overflowPunct w:val="0"/>
        <w:snapToGrid w:val="0"/>
        <w:spacing w:line="550" w:lineRule="exact"/>
        <w:ind w:firstLine="640" w:firstLineChars="200"/>
        <w:rPr>
          <w:rFonts w:ascii="Times New Roman" w:hAnsi="Times New Roman" w:eastAsia="黑体"/>
          <w:color w:val="auto"/>
          <w:sz w:val="32"/>
          <w:szCs w:val="32"/>
        </w:rPr>
      </w:pPr>
      <w:r>
        <w:rPr>
          <w:rFonts w:hint="eastAsia" w:ascii="Times New Roman" w:hAnsi="Times New Roman" w:eastAsia="黑体"/>
          <w:color w:val="auto"/>
          <w:sz w:val="32"/>
          <w:szCs w:val="32"/>
          <w:lang w:val="en-US" w:eastAsia="zh-CN"/>
        </w:rPr>
        <w:t>五</w:t>
      </w:r>
      <w:r>
        <w:rPr>
          <w:rFonts w:hint="eastAsia" w:ascii="Times New Roman" w:hAnsi="Times New Roman" w:eastAsia="黑体"/>
          <w:color w:val="auto"/>
          <w:sz w:val="32"/>
          <w:szCs w:val="32"/>
        </w:rPr>
        <w:t>、资格审查与异议处理</w:t>
      </w:r>
    </w:p>
    <w:p w14:paraId="2EE08906">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各地申报的成果材料，凡有以下情况将不予推介。</w:t>
      </w:r>
    </w:p>
    <w:p w14:paraId="7BC5EA93">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（一）未按照规定程序申报、推介；</w:t>
      </w:r>
    </w:p>
    <w:p w14:paraId="5E433C98">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（二）未按规定格式和要求填写申报材料，附件不齐全；</w:t>
      </w:r>
    </w:p>
    <w:p w14:paraId="0E64255F">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（三）不符合社会教育教学成果推介内容与范围；</w:t>
      </w:r>
    </w:p>
    <w:p w14:paraId="71644D80">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（四）成果持有人或单位不符合规定；</w:t>
      </w:r>
    </w:p>
    <w:p w14:paraId="7689250C">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（五）实践检验不符合时限要求。</w:t>
      </w:r>
    </w:p>
    <w:p w14:paraId="29725D65">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推介结果实行公示制度。经确定的推介项目，在江苏学习在线公示进行公示。公示期内，任何单位和个人对公示的教学成果权属、实践时间与实践单位等持有异议，需在公示时间内以书面形式（包括必要的证明材料）提出。单位提出异议，需在异议材料上加盖本单位公章，并写明联系人姓名、通讯地址和电话；个人提出的异议，需在异议材料上签署真实姓名，并写明本人的工作单位、通讯地址和电话。省社会教育服务指导中心对提出异议的单位和个人予以保密，并组织调查、核实。</w:t>
      </w:r>
    </w:p>
    <w:p w14:paraId="4BCA4979">
      <w:pPr>
        <w:numPr>
          <w:ilvl w:val="255"/>
          <w:numId w:val="0"/>
        </w:numPr>
        <w:overflowPunct w:val="0"/>
        <w:snapToGrid w:val="0"/>
        <w:spacing w:line="550" w:lineRule="exact"/>
        <w:ind w:firstLine="640" w:firstLineChars="200"/>
        <w:jc w:val="left"/>
        <w:rPr>
          <w:rFonts w:ascii="Times New Roman" w:hAnsi="Times New Roman" w:eastAsia="黑体"/>
          <w:color w:val="auto"/>
          <w:sz w:val="32"/>
          <w:szCs w:val="32"/>
        </w:rPr>
      </w:pPr>
      <w:r>
        <w:rPr>
          <w:rFonts w:hint="eastAsia" w:ascii="Times New Roman" w:hAnsi="Times New Roman" w:eastAsia="黑体"/>
          <w:color w:val="auto"/>
          <w:sz w:val="32"/>
          <w:szCs w:val="32"/>
          <w:lang w:val="en-US" w:eastAsia="zh-CN"/>
        </w:rPr>
        <w:t>六</w:t>
      </w:r>
      <w:r>
        <w:rPr>
          <w:rFonts w:hint="eastAsia" w:ascii="Times New Roman" w:hAnsi="Times New Roman" w:eastAsia="黑体"/>
          <w:color w:val="auto"/>
          <w:sz w:val="32"/>
          <w:szCs w:val="32"/>
        </w:rPr>
        <w:t>、材料报送</w:t>
      </w:r>
    </w:p>
    <w:p w14:paraId="30886941">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一）申报材料。包括主要申报材料和支撑材料。主要申报材料包括社会教育教学成果推介射门去书（以下简称申请书）。支撑材料包括能够反映成果质量和水平的论文、奖励、报道、研究报告等支撑或旁证材料电子文档（PDF格式）；教学成果如含教材、著作的，须提交样书及教材电子文档，电子文档包括教材封面、出版信息页、目录及精选内容等（PDF格式）；教学成果如参加过评比、评奖活动的，可一并提交相关获奖证明材料（PDF格式）；其他与成果有关的必要支撑材料。</w:t>
      </w:r>
    </w:p>
    <w:p w14:paraId="052012B8">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（二）大市审核。各地申报材料由各市社会教育服务指导中心统一审核、初选后进行推介。</w:t>
      </w:r>
    </w:p>
    <w:p w14:paraId="2D746DC9">
      <w:pPr>
        <w:overflowPunct w:val="0"/>
        <w:snapToGrid w:val="0"/>
        <w:spacing w:line="550" w:lineRule="exact"/>
        <w:ind w:firstLine="640" w:firstLineChars="200"/>
        <w:rPr>
          <w:rFonts w:ascii="Times New Roman" w:hAnsi="Times New Roman" w:eastAsia="仿宋_GB2312" w:cs="仿宋_GB2312"/>
          <w:color w:val="auto"/>
          <w:sz w:val="32"/>
          <w:szCs w:val="32"/>
        </w:rPr>
      </w:pPr>
    </w:p>
    <w:p w14:paraId="7F56E850">
      <w:pPr>
        <w:spacing w:line="550" w:lineRule="exact"/>
        <w:jc w:val="center"/>
        <w:rPr>
          <w:rFonts w:ascii="Times New Roman" w:hAnsi="Times New Roman" w:eastAsia="仿宋_GB2312" w:cs="仿宋_GB2312"/>
          <w:color w:val="auto"/>
          <w:sz w:val="30"/>
          <w:szCs w:val="30"/>
        </w:rPr>
      </w:pPr>
    </w:p>
    <w:sectPr>
      <w:footerReference r:id="rId3" w:type="default"/>
      <w:pgSz w:w="11906" w:h="16838"/>
      <w:pgMar w:top="1440" w:right="1800" w:bottom="1440" w:left="1800" w:header="851" w:footer="964" w:gutter="0"/>
      <w:pgNumType w:start="1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B571AE-7114-404D-A41F-2362E326E0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2" w:fontKey="{713A2748-B7BC-4725-90B9-02BD4AF84830}"/>
  </w:font>
  <w:font w:name="仿宋_GB2312">
    <w:panose1 w:val="02010609030101010101"/>
    <w:charset w:val="86"/>
    <w:family w:val="modern"/>
    <w:pitch w:val="default"/>
    <w:sig w:usb0="00000001" w:usb1="080E0000" w:usb2="00000000" w:usb3="00000000" w:csb0="00040000" w:csb1="00000000"/>
    <w:embedRegular r:id="rId3" w:fontKey="{F8FF89EF-66B7-418C-A27A-9FAE1E9EBCAD}"/>
  </w:font>
  <w:font w:name="WPSEMBED1">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embedRegular r:id="rId4" w:fontKey="{E87BB0F0-4856-4906-B48B-38FBD31C59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707E2">
    <w:pPr>
      <w:pStyle w:val="4"/>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71D300B">
                          <w:pPr>
                            <w:pStyle w:val="4"/>
                          </w:pPr>
                          <w:r>
                            <w:fldChar w:fldCharType="begin"/>
                          </w:r>
                          <w:r>
                            <w:instrText xml:space="preserve"> PAGE  \* MERGEFORMAT </w:instrText>
                          </w:r>
                          <w:r>
                            <w:fldChar w:fldCharType="separate"/>
                          </w:r>
                          <w:r>
                            <w:t>10</w:t>
                          </w:r>
                          <w: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9JuyvDAQAAhw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M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T0m7K8MBAACHAwAADgAAAAAAAAABACAAAAAfAQAAZHJzL2Uyb0RvYy54bWxQ&#10;SwUGAAAAAAYABgBZAQAAVAUAAAAA&#10;">
              <v:fill on="f" focussize="0,0"/>
              <v:stroke on="f"/>
              <v:imagedata o:title=""/>
              <o:lock v:ext="edit" aspectratio="f"/>
              <v:textbox inset="0mm,0mm,0mm,0mm" style="mso-fit-shape-to-text:t;">
                <w:txbxContent>
                  <w:p w14:paraId="371D300B">
                    <w:pPr>
                      <w:pStyle w:val="4"/>
                    </w:pPr>
                    <w:r>
                      <w:fldChar w:fldCharType="begin"/>
                    </w:r>
                    <w:r>
                      <w:instrText xml:space="preserve"> PAGE  \* MERGEFORMAT </w:instrText>
                    </w:r>
                    <w:r>
                      <w:fldChar w:fldCharType="separate"/>
                    </w:r>
                    <w:r>
                      <w:t>10</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jZmUyZjM2MGI3OWUwOGRjNzgzZjY5ZDk4NTk4YzgifQ=="/>
  </w:docVars>
  <w:rsids>
    <w:rsidRoot w:val="0099311A"/>
    <w:rsid w:val="000176CE"/>
    <w:rsid w:val="001B1EAA"/>
    <w:rsid w:val="0042481C"/>
    <w:rsid w:val="00487EEB"/>
    <w:rsid w:val="007A780A"/>
    <w:rsid w:val="0099311A"/>
    <w:rsid w:val="02570562"/>
    <w:rsid w:val="08BE1687"/>
    <w:rsid w:val="0B16579E"/>
    <w:rsid w:val="0EA47995"/>
    <w:rsid w:val="11FF0304"/>
    <w:rsid w:val="13101B2C"/>
    <w:rsid w:val="162526BA"/>
    <w:rsid w:val="16425791"/>
    <w:rsid w:val="167372DC"/>
    <w:rsid w:val="17226E2E"/>
    <w:rsid w:val="18AE7B72"/>
    <w:rsid w:val="18D74EE3"/>
    <w:rsid w:val="1BAB5126"/>
    <w:rsid w:val="1CCB5277"/>
    <w:rsid w:val="1CDC7546"/>
    <w:rsid w:val="1F380760"/>
    <w:rsid w:val="212C3B52"/>
    <w:rsid w:val="229C1A92"/>
    <w:rsid w:val="26344979"/>
    <w:rsid w:val="295B0D23"/>
    <w:rsid w:val="29F121BF"/>
    <w:rsid w:val="2B82571D"/>
    <w:rsid w:val="2C4307DA"/>
    <w:rsid w:val="2DF77476"/>
    <w:rsid w:val="306727B0"/>
    <w:rsid w:val="31B5579D"/>
    <w:rsid w:val="3272709F"/>
    <w:rsid w:val="33B061A3"/>
    <w:rsid w:val="39C95C64"/>
    <w:rsid w:val="3AA53423"/>
    <w:rsid w:val="3ADE4924"/>
    <w:rsid w:val="3CB530E9"/>
    <w:rsid w:val="3FD3057B"/>
    <w:rsid w:val="41CE2F7C"/>
    <w:rsid w:val="440A0822"/>
    <w:rsid w:val="44864C64"/>
    <w:rsid w:val="4667204B"/>
    <w:rsid w:val="4AC72371"/>
    <w:rsid w:val="4AEB7F8A"/>
    <w:rsid w:val="4FF00E42"/>
    <w:rsid w:val="5260466D"/>
    <w:rsid w:val="52F341E7"/>
    <w:rsid w:val="536F6FE9"/>
    <w:rsid w:val="585E1580"/>
    <w:rsid w:val="58841B75"/>
    <w:rsid w:val="58F60EE5"/>
    <w:rsid w:val="596F0532"/>
    <w:rsid w:val="5A9079A1"/>
    <w:rsid w:val="5B255E4A"/>
    <w:rsid w:val="5F95250B"/>
    <w:rsid w:val="60974B11"/>
    <w:rsid w:val="652342F7"/>
    <w:rsid w:val="66AD46B9"/>
    <w:rsid w:val="66CB45FD"/>
    <w:rsid w:val="66D06ED7"/>
    <w:rsid w:val="66DB2FFE"/>
    <w:rsid w:val="67FE66A6"/>
    <w:rsid w:val="68842CBB"/>
    <w:rsid w:val="6A1A5EE6"/>
    <w:rsid w:val="6A2B3D0B"/>
    <w:rsid w:val="6BE07F44"/>
    <w:rsid w:val="6CDF2848"/>
    <w:rsid w:val="6E481EDC"/>
    <w:rsid w:val="6E8B100D"/>
    <w:rsid w:val="6F1D4AA8"/>
    <w:rsid w:val="6F8F7052"/>
    <w:rsid w:val="706B6357"/>
    <w:rsid w:val="74BA6798"/>
    <w:rsid w:val="76DB1022"/>
    <w:rsid w:val="782B1846"/>
    <w:rsid w:val="79B42075"/>
    <w:rsid w:val="7C4165CD"/>
    <w:rsid w:val="7D47126A"/>
    <w:rsid w:val="7DCD37A7"/>
    <w:rsid w:val="7F697B54"/>
    <w:rsid w:val="7F9D0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6"/>
    <w:autoRedefine/>
    <w:qFormat/>
    <w:uiPriority w:val="0"/>
    <w:pPr>
      <w:jc w:val="left"/>
    </w:pPr>
  </w:style>
  <w:style w:type="paragraph" w:styleId="3">
    <w:name w:val="Balloon Text"/>
    <w:basedOn w:val="1"/>
    <w:link w:val="18"/>
    <w:autoRedefine/>
    <w:qFormat/>
    <w:uiPriority w:val="0"/>
    <w:rPr>
      <w:sz w:val="18"/>
      <w:szCs w:val="18"/>
    </w:rPr>
  </w:style>
  <w:style w:type="paragraph" w:styleId="4">
    <w:name w:val="footer"/>
    <w:basedOn w:val="1"/>
    <w:autoRedefine/>
    <w:qFormat/>
    <w:uiPriority w:val="99"/>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99"/>
    <w:pPr>
      <w:spacing w:before="100" w:beforeAutospacing="1" w:after="100" w:afterAutospacing="1"/>
      <w:jc w:val="left"/>
    </w:pPr>
    <w:rPr>
      <w:kern w:val="0"/>
      <w:sz w:val="24"/>
    </w:rPr>
  </w:style>
  <w:style w:type="paragraph" w:styleId="7">
    <w:name w:val="annotation subject"/>
    <w:basedOn w:val="2"/>
    <w:next w:val="2"/>
    <w:link w:val="17"/>
    <w:autoRedefine/>
    <w:qFormat/>
    <w:uiPriority w:val="0"/>
    <w:rPr>
      <w:b/>
      <w:bCs/>
    </w:rPr>
  </w:style>
  <w:style w:type="table" w:styleId="9">
    <w:name w:val="Table Grid"/>
    <w:basedOn w:val="8"/>
    <w:autoRedefine/>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Hyperlink"/>
    <w:basedOn w:val="10"/>
    <w:autoRedefine/>
    <w:qFormat/>
    <w:uiPriority w:val="0"/>
    <w:rPr>
      <w:color w:val="0000FF"/>
      <w:u w:val="single"/>
    </w:rPr>
  </w:style>
  <w:style w:type="character" w:styleId="13">
    <w:name w:val="annotation reference"/>
    <w:basedOn w:val="10"/>
    <w:autoRedefine/>
    <w:qFormat/>
    <w:uiPriority w:val="0"/>
    <w:rPr>
      <w:sz w:val="21"/>
      <w:szCs w:val="21"/>
    </w:rPr>
  </w:style>
  <w:style w:type="paragraph" w:customStyle="1" w:styleId="14">
    <w:name w:val="List Paragraph_4d0e984a-b5ea-4155-831d-f82e4d6ea060"/>
    <w:basedOn w:val="1"/>
    <w:autoRedefine/>
    <w:qFormat/>
    <w:uiPriority w:val="99"/>
    <w:pPr>
      <w:ind w:firstLine="420" w:firstLineChars="200"/>
    </w:pPr>
  </w:style>
  <w:style w:type="paragraph" w:customStyle="1" w:styleId="15">
    <w:name w:val="修订1"/>
    <w:autoRedefine/>
    <w:qFormat/>
    <w:uiPriority w:val="99"/>
    <w:rPr>
      <w:rFonts w:ascii="Calibri" w:hAnsi="Calibri" w:eastAsia="宋体" w:cs="黑体"/>
      <w:kern w:val="2"/>
      <w:sz w:val="21"/>
      <w:szCs w:val="24"/>
      <w:lang w:val="en-US" w:eastAsia="zh-CN" w:bidi="ar-SA"/>
    </w:rPr>
  </w:style>
  <w:style w:type="character" w:customStyle="1" w:styleId="16">
    <w:name w:val="批注文字 Char"/>
    <w:basedOn w:val="10"/>
    <w:link w:val="2"/>
    <w:autoRedefine/>
    <w:qFormat/>
    <w:uiPriority w:val="0"/>
    <w:rPr>
      <w:rFonts w:ascii="Calibri" w:hAnsi="Calibri" w:eastAsia="宋体" w:cs="黑体"/>
      <w:kern w:val="2"/>
      <w:sz w:val="21"/>
      <w:szCs w:val="24"/>
    </w:rPr>
  </w:style>
  <w:style w:type="character" w:customStyle="1" w:styleId="17">
    <w:name w:val="批注主题 Char"/>
    <w:basedOn w:val="16"/>
    <w:link w:val="7"/>
    <w:autoRedefine/>
    <w:qFormat/>
    <w:uiPriority w:val="0"/>
    <w:rPr>
      <w:rFonts w:ascii="Calibri" w:hAnsi="Calibri" w:eastAsia="宋体" w:cs="黑体"/>
      <w:b/>
      <w:bCs/>
      <w:kern w:val="2"/>
      <w:sz w:val="21"/>
      <w:szCs w:val="24"/>
    </w:rPr>
  </w:style>
  <w:style w:type="character" w:customStyle="1" w:styleId="18">
    <w:name w:val="批注框文本 Char"/>
    <w:basedOn w:val="10"/>
    <w:link w:val="3"/>
    <w:autoRedefine/>
    <w:qFormat/>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1709</Words>
  <Characters>1718</Characters>
  <Lines>20</Lines>
  <Paragraphs>5</Paragraphs>
  <TotalTime>0</TotalTime>
  <ScaleCrop>false</ScaleCrop>
  <LinksUpToDate>false</LinksUpToDate>
  <CharactersWithSpaces>1719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2022-07-12T07:20:00Z</dcterms:created>
  <dc:creator>xl</dc:creator>
  <cp:lastModifiedBy>施健</cp:lastModifiedBy>
  <cp:lastPrinted>2022-08-30T07:11:00Z</cp:lastPrinted>
  <dcterms:modified xsi:type="dcterms:W3CDTF">2026-09-04T03:13:02Z</dcterms:modified>
  <dc:title>附件X</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0ECF7114D51946FA80D9BE8D3A536D94</vt:lpwstr>
  </property>
  <property fmtid="{D5CDD505-2E9C-101B-9397-08002B2CF9AE}" pid="4" name="KSOTemplateDocerSaveRecord">
    <vt:lpwstr>eyJoZGlkIjoiMzFiYzRjYjE0ZTQ0M2I5ZjRiYTVkMDk4YjJiM2Q4ZjEiLCJ1c2VySWQiOiIyODcxMTE0MzMifQ==</vt:lpwstr>
  </property>
</Properties>
</file>